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6C6" w:rsidRPr="008110BA" w:rsidRDefault="00F80D79" w:rsidP="003A6E41">
      <w:pPr>
        <w:tabs>
          <w:tab w:val="left" w:pos="800"/>
        </w:tabs>
        <w:spacing w:line="360" w:lineRule="auto"/>
        <w:jc w:val="center"/>
        <w:rPr>
          <w:rFonts w:ascii="Arial TUR" w:hAnsi="Arial TUR" w:cs="David"/>
          <w:b/>
          <w:bCs/>
          <w:color w:val="000080"/>
          <w:sz w:val="28"/>
          <w:szCs w:val="32"/>
          <w:rtl/>
        </w:rPr>
      </w:pPr>
      <w:r w:rsidRPr="008110BA">
        <w:rPr>
          <w:rFonts w:ascii="Arial TUR" w:hAnsi="Arial TUR" w:cs="David" w:hint="cs"/>
          <w:b/>
          <w:bCs/>
          <w:color w:val="000080"/>
          <w:sz w:val="28"/>
          <w:szCs w:val="32"/>
          <w:rtl/>
        </w:rPr>
        <w:t>בית המשפט העליון</w:t>
      </w:r>
    </w:p>
    <w:p w:rsidR="00745B38" w:rsidRDefault="00E00A0F" w:rsidP="006F740C">
      <w:pPr>
        <w:pStyle w:val="Ruller4"/>
        <w:numPr>
          <w:ilvl w:val="0"/>
          <w:numId w:val="0"/>
        </w:numPr>
        <w:ind w:left="141"/>
        <w:jc w:val="center"/>
        <w:rPr>
          <w:rFonts w:ascii="FrankRuehl" w:hAnsi="FrankRuehl" w:cs="David"/>
          <w:bCs/>
          <w:spacing w:val="0"/>
          <w:sz w:val="28"/>
          <w:u w:val="single"/>
          <w:rtl/>
        </w:rPr>
      </w:pPr>
      <w:r w:rsidRPr="008110BA">
        <w:rPr>
          <w:rFonts w:ascii="FrankRuehl" w:hAnsi="FrankRuehl" w:cs="David" w:hint="cs"/>
          <w:bCs/>
          <w:spacing w:val="0"/>
          <w:sz w:val="28"/>
          <w:u w:val="single"/>
          <w:rtl/>
        </w:rPr>
        <w:t>בג"ץ</w:t>
      </w:r>
      <w:r w:rsidR="00834194" w:rsidRPr="008110BA">
        <w:rPr>
          <w:rFonts w:ascii="FrankRuehl" w:hAnsi="FrankRuehl" w:cs="David" w:hint="cs"/>
          <w:bCs/>
          <w:spacing w:val="0"/>
          <w:sz w:val="28"/>
          <w:u w:val="single"/>
          <w:rtl/>
        </w:rPr>
        <w:t xml:space="preserve"> </w:t>
      </w:r>
      <w:r w:rsidR="006F740C">
        <w:rPr>
          <w:rFonts w:ascii="FrankRuehl" w:hAnsi="FrankRuehl" w:cs="David" w:hint="cs"/>
          <w:bCs/>
          <w:spacing w:val="0"/>
          <w:sz w:val="28"/>
          <w:u w:val="single"/>
          <w:rtl/>
        </w:rPr>
        <w:t>3823</w:t>
      </w:r>
      <w:r w:rsidRPr="008110BA">
        <w:rPr>
          <w:rFonts w:ascii="FrankRuehl" w:hAnsi="FrankRuehl" w:cs="David" w:hint="cs"/>
          <w:bCs/>
          <w:spacing w:val="0"/>
          <w:sz w:val="28"/>
          <w:u w:val="single"/>
          <w:rtl/>
        </w:rPr>
        <w:t>/</w:t>
      </w:r>
      <w:r w:rsidR="006F740C">
        <w:rPr>
          <w:rFonts w:ascii="FrankRuehl" w:hAnsi="FrankRuehl" w:cs="David" w:hint="cs"/>
          <w:bCs/>
          <w:spacing w:val="0"/>
          <w:sz w:val="28"/>
          <w:u w:val="single"/>
          <w:rtl/>
        </w:rPr>
        <w:t>22</w:t>
      </w:r>
      <w:r w:rsidR="00EE7F73" w:rsidRPr="008110BA">
        <w:rPr>
          <w:rFonts w:ascii="FrankRuehl" w:hAnsi="FrankRuehl" w:cs="David" w:hint="cs"/>
          <w:bCs/>
          <w:spacing w:val="0"/>
          <w:sz w:val="28"/>
          <w:u w:val="single"/>
          <w:rtl/>
        </w:rPr>
        <w:t xml:space="preserve"> </w:t>
      </w:r>
      <w:r w:rsidR="006F740C">
        <w:rPr>
          <w:rFonts w:ascii="FrankRuehl" w:hAnsi="FrankRuehl" w:cs="David" w:hint="cs"/>
          <w:bCs/>
          <w:spacing w:val="0"/>
          <w:sz w:val="28"/>
          <w:u w:val="single"/>
          <w:rtl/>
        </w:rPr>
        <w:t>נתניהו</w:t>
      </w:r>
      <w:r w:rsidR="00C95C10" w:rsidRPr="00414149">
        <w:rPr>
          <w:rFonts w:ascii="FrankRuehl" w:hAnsi="FrankRuehl" w:cs="David" w:hint="cs"/>
          <w:bCs/>
          <w:spacing w:val="0"/>
          <w:sz w:val="28"/>
          <w:u w:val="single"/>
          <w:rtl/>
        </w:rPr>
        <w:t xml:space="preserve"> </w:t>
      </w:r>
      <w:r w:rsidR="00EE7F73" w:rsidRPr="00414149">
        <w:rPr>
          <w:rFonts w:ascii="FrankRuehl" w:hAnsi="FrankRuehl" w:cs="David" w:hint="cs"/>
          <w:bCs/>
          <w:spacing w:val="0"/>
          <w:sz w:val="28"/>
          <w:u w:val="single"/>
          <w:rtl/>
        </w:rPr>
        <w:t xml:space="preserve">נ' </w:t>
      </w:r>
      <w:r w:rsidR="006F740C">
        <w:rPr>
          <w:rFonts w:ascii="FrankRuehl" w:hAnsi="FrankRuehl" w:cs="David" w:hint="cs"/>
          <w:bCs/>
          <w:spacing w:val="0"/>
          <w:sz w:val="28"/>
          <w:u w:val="single"/>
          <w:rtl/>
        </w:rPr>
        <w:t>היועצת המשפטית לממשלה</w:t>
      </w:r>
    </w:p>
    <w:p w:rsidR="006F740C" w:rsidRPr="006F740C" w:rsidRDefault="006F740C" w:rsidP="006F740C">
      <w:pPr>
        <w:pStyle w:val="Ruller41"/>
        <w:spacing w:line="240" w:lineRule="auto"/>
        <w:rPr>
          <w:rtl/>
        </w:rPr>
      </w:pPr>
    </w:p>
    <w:p w:rsidR="00DE3727" w:rsidRPr="008110BA" w:rsidRDefault="00DE3727" w:rsidP="006F740C">
      <w:pPr>
        <w:pStyle w:val="Ruller41"/>
        <w:rPr>
          <w:rFonts w:cs="David"/>
          <w:sz w:val="24"/>
          <w:szCs w:val="24"/>
          <w:rtl/>
        </w:rPr>
      </w:pP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תאריך</w:t>
      </w:r>
      <w:r w:rsidRPr="008110BA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מתן</w:t>
      </w:r>
      <w:r w:rsidRPr="008110BA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פסק</w:t>
      </w:r>
      <w:r w:rsidRPr="008110BA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הדין</w:t>
      </w:r>
      <w:r w:rsidRPr="008110BA">
        <w:rPr>
          <w:rFonts w:cs="David"/>
          <w:b/>
          <w:bCs/>
          <w:sz w:val="24"/>
          <w:szCs w:val="24"/>
          <w:rtl/>
        </w:rPr>
        <w:t>:</w:t>
      </w:r>
      <w:r w:rsidRPr="008110BA">
        <w:rPr>
          <w:rFonts w:cs="David"/>
          <w:sz w:val="24"/>
          <w:szCs w:val="24"/>
          <w:rtl/>
        </w:rPr>
        <w:t xml:space="preserve"> </w:t>
      </w:r>
      <w:r w:rsidR="006F740C">
        <w:rPr>
          <w:rFonts w:cs="David" w:hint="cs"/>
          <w:sz w:val="24"/>
          <w:szCs w:val="24"/>
          <w:rtl/>
        </w:rPr>
        <w:t>כ"ח</w:t>
      </w:r>
      <w:r w:rsidR="001D2736" w:rsidRPr="001D2736">
        <w:rPr>
          <w:rFonts w:cs="David"/>
          <w:sz w:val="24"/>
          <w:szCs w:val="24"/>
          <w:rtl/>
        </w:rPr>
        <w:t xml:space="preserve"> ב</w:t>
      </w:r>
      <w:r w:rsidR="006F740C">
        <w:rPr>
          <w:rFonts w:cs="David" w:hint="cs"/>
          <w:sz w:val="24"/>
          <w:szCs w:val="24"/>
          <w:rtl/>
        </w:rPr>
        <w:t>תמוז</w:t>
      </w:r>
      <w:r w:rsidR="001D2736" w:rsidRPr="001D2736">
        <w:rPr>
          <w:rFonts w:cs="David"/>
          <w:sz w:val="24"/>
          <w:szCs w:val="24"/>
          <w:rtl/>
        </w:rPr>
        <w:t xml:space="preserve"> </w:t>
      </w:r>
      <w:proofErr w:type="spellStart"/>
      <w:r w:rsidR="001D2736" w:rsidRPr="001D2736">
        <w:rPr>
          <w:rFonts w:cs="David"/>
          <w:sz w:val="24"/>
          <w:szCs w:val="24"/>
          <w:rtl/>
        </w:rPr>
        <w:t>התשפ"ג</w:t>
      </w:r>
      <w:proofErr w:type="spellEnd"/>
      <w:r w:rsidR="004A553E" w:rsidRPr="008110BA">
        <w:rPr>
          <w:rFonts w:cs="David"/>
          <w:sz w:val="24"/>
          <w:szCs w:val="24"/>
          <w:rtl/>
        </w:rPr>
        <w:t xml:space="preserve"> (</w:t>
      </w:r>
      <w:r w:rsidR="006F740C">
        <w:rPr>
          <w:rFonts w:cs="David" w:hint="cs"/>
          <w:sz w:val="24"/>
          <w:szCs w:val="24"/>
          <w:rtl/>
        </w:rPr>
        <w:t>17</w:t>
      </w:r>
      <w:r w:rsidR="001D2736">
        <w:rPr>
          <w:rFonts w:cs="David" w:hint="cs"/>
          <w:sz w:val="24"/>
          <w:szCs w:val="24"/>
          <w:rtl/>
        </w:rPr>
        <w:t>.</w:t>
      </w:r>
      <w:r w:rsidR="006F740C">
        <w:rPr>
          <w:rFonts w:cs="David" w:hint="cs"/>
          <w:sz w:val="24"/>
          <w:szCs w:val="24"/>
          <w:rtl/>
        </w:rPr>
        <w:t>07</w:t>
      </w:r>
      <w:r w:rsidR="001D2736">
        <w:rPr>
          <w:rFonts w:cs="David" w:hint="cs"/>
          <w:sz w:val="24"/>
          <w:szCs w:val="24"/>
          <w:rtl/>
        </w:rPr>
        <w:t>.2023</w:t>
      </w:r>
      <w:r w:rsidR="004A553E" w:rsidRPr="008110BA">
        <w:rPr>
          <w:rFonts w:cs="David"/>
          <w:sz w:val="24"/>
          <w:szCs w:val="24"/>
          <w:rtl/>
        </w:rPr>
        <w:t>)</w:t>
      </w:r>
    </w:p>
    <w:p w:rsidR="00DE3727" w:rsidRPr="008110BA" w:rsidRDefault="00DE3727" w:rsidP="006F740C">
      <w:pPr>
        <w:pStyle w:val="Ruller41"/>
        <w:spacing w:line="240" w:lineRule="auto"/>
        <w:rPr>
          <w:rFonts w:cs="David"/>
          <w:b/>
          <w:bCs/>
          <w:sz w:val="24"/>
          <w:szCs w:val="24"/>
          <w:u w:val="single"/>
          <w:rtl/>
        </w:rPr>
      </w:pPr>
    </w:p>
    <w:p w:rsidR="00DE3727" w:rsidRPr="008110BA" w:rsidRDefault="00DE3727" w:rsidP="006F740C">
      <w:pPr>
        <w:pStyle w:val="Ruller41"/>
        <w:rPr>
          <w:rFonts w:cs="David"/>
          <w:sz w:val="24"/>
          <w:szCs w:val="24"/>
          <w:rtl/>
        </w:rPr>
      </w:pP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הרכב</w:t>
      </w:r>
      <w:r w:rsidRPr="008110BA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השופטים</w:t>
      </w:r>
      <w:r w:rsidRPr="008110BA">
        <w:rPr>
          <w:rFonts w:cs="David"/>
          <w:b/>
          <w:bCs/>
          <w:sz w:val="24"/>
          <w:szCs w:val="24"/>
          <w:rtl/>
        </w:rPr>
        <w:t xml:space="preserve">: </w:t>
      </w:r>
      <w:r w:rsidR="006F740C">
        <w:rPr>
          <w:rFonts w:cs="David" w:hint="cs"/>
          <w:sz w:val="24"/>
          <w:szCs w:val="24"/>
          <w:rtl/>
        </w:rPr>
        <w:t>השופטים נ' סולברג, ד' ברק-ארז ו-ח' כבוב</w:t>
      </w:r>
      <w:r w:rsidR="00E00A0F" w:rsidRPr="008110BA">
        <w:rPr>
          <w:rFonts w:cs="David"/>
          <w:sz w:val="24"/>
          <w:szCs w:val="24"/>
          <w:rtl/>
        </w:rPr>
        <w:t>.</w:t>
      </w:r>
      <w:r w:rsidR="006527D4" w:rsidRPr="008110BA">
        <w:rPr>
          <w:rFonts w:cs="David"/>
          <w:sz w:val="24"/>
          <w:szCs w:val="24"/>
          <w:rtl/>
        </w:rPr>
        <w:t xml:space="preserve"> </w:t>
      </w:r>
    </w:p>
    <w:p w:rsidR="006527D4" w:rsidRPr="008110BA" w:rsidRDefault="006527D4" w:rsidP="006F740C">
      <w:pPr>
        <w:spacing w:line="240" w:lineRule="auto"/>
        <w:rPr>
          <w:rFonts w:cs="David"/>
          <w:sz w:val="24"/>
          <w:szCs w:val="24"/>
          <w:rtl/>
        </w:rPr>
      </w:pPr>
    </w:p>
    <w:p w:rsidR="00E00A0F" w:rsidRDefault="00403ED9" w:rsidP="006F740C">
      <w:pPr>
        <w:pStyle w:val="Ruller41"/>
        <w:rPr>
          <w:rFonts w:ascii="Calibri" w:eastAsia="Calibri" w:hAnsi="Calibri" w:cs="David"/>
          <w:b/>
          <w:bCs/>
          <w:spacing w:val="0"/>
          <w:sz w:val="24"/>
          <w:szCs w:val="24"/>
          <w:rtl/>
        </w:rPr>
      </w:pPr>
      <w:r w:rsidRPr="008110BA">
        <w:rPr>
          <w:rFonts w:ascii="Calibri" w:eastAsia="Calibri" w:hAnsi="Calibri" w:cs="David" w:hint="eastAsia"/>
          <w:b/>
          <w:bCs/>
          <w:spacing w:val="0"/>
          <w:sz w:val="24"/>
          <w:szCs w:val="24"/>
          <w:rtl/>
        </w:rPr>
        <w:t>בית</w:t>
      </w:r>
      <w:r w:rsidRPr="008110BA">
        <w:rPr>
          <w:rFonts w:ascii="Calibri" w:eastAsia="Calibri" w:hAnsi="Calibri" w:cs="David"/>
          <w:b/>
          <w:bCs/>
          <w:spacing w:val="0"/>
          <w:sz w:val="24"/>
          <w:szCs w:val="24"/>
          <w:rtl/>
        </w:rPr>
        <w:t xml:space="preserve"> המשפט העליון </w:t>
      </w:r>
      <w:r w:rsidRPr="008110BA">
        <w:rPr>
          <w:rFonts w:ascii="Calibri" w:eastAsia="Calibri" w:hAnsi="Calibri" w:cs="David" w:hint="eastAsia"/>
          <w:b/>
          <w:bCs/>
          <w:spacing w:val="0"/>
          <w:sz w:val="24"/>
          <w:szCs w:val="24"/>
          <w:rtl/>
        </w:rPr>
        <w:t>קבע</w:t>
      </w:r>
      <w:r w:rsidRPr="008110BA">
        <w:rPr>
          <w:rFonts w:ascii="Calibri" w:eastAsia="Calibri" w:hAnsi="Calibri" w:cs="David"/>
          <w:b/>
          <w:bCs/>
          <w:spacing w:val="0"/>
          <w:sz w:val="24"/>
          <w:szCs w:val="24"/>
          <w:rtl/>
        </w:rPr>
        <w:t xml:space="preserve"> פה אחד כי </w:t>
      </w:r>
      <w:r w:rsidR="006F740C">
        <w:rPr>
          <w:rFonts w:ascii="Calibri" w:eastAsia="Calibri" w:hAnsi="Calibri" w:cs="David" w:hint="cs"/>
          <w:b/>
          <w:bCs/>
          <w:spacing w:val="0"/>
          <w:sz w:val="24"/>
          <w:szCs w:val="24"/>
          <w:rtl/>
        </w:rPr>
        <w:t xml:space="preserve">אין מקום להתערבותו בהחלטת היועצת המשפטית לממשלה </w:t>
      </w:r>
      <w:r w:rsidR="006F740C" w:rsidRPr="006F740C">
        <w:rPr>
          <w:rFonts w:ascii="Calibri" w:eastAsia="Calibri" w:hAnsi="Calibri" w:cs="David" w:hint="cs"/>
          <w:b/>
          <w:bCs/>
          <w:spacing w:val="0"/>
          <w:sz w:val="24"/>
          <w:szCs w:val="24"/>
          <w:rtl/>
        </w:rPr>
        <w:t>שלא להורות על פתיחה בחקירה פלילית בחשד למסירת מידע שלא ברשות</w:t>
      </w:r>
      <w:r w:rsidR="006F740C">
        <w:rPr>
          <w:rFonts w:ascii="Calibri" w:eastAsia="Calibri" w:hAnsi="Calibri" w:cs="David" w:hint="cs"/>
          <w:b/>
          <w:bCs/>
          <w:spacing w:val="0"/>
          <w:sz w:val="24"/>
          <w:szCs w:val="24"/>
          <w:rtl/>
        </w:rPr>
        <w:t xml:space="preserve">, לאחר שמידע מתוך השלמת החקירה שהתנהלה בעניינו של העותר 'דלף' לאמצעי התקשורת. </w:t>
      </w:r>
      <w:r w:rsidR="007A15CC">
        <w:rPr>
          <w:rFonts w:ascii="Calibri" w:eastAsia="Calibri" w:hAnsi="Calibri" w:cs="David" w:hint="cs"/>
          <w:b/>
          <w:bCs/>
          <w:spacing w:val="0"/>
          <w:sz w:val="24"/>
          <w:szCs w:val="24"/>
          <w:rtl/>
        </w:rPr>
        <w:t xml:space="preserve"> </w:t>
      </w:r>
    </w:p>
    <w:p w:rsidR="00885BAF" w:rsidRPr="006F740C" w:rsidRDefault="00885BAF" w:rsidP="006F740C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</w:p>
    <w:p w:rsidR="00F33F55" w:rsidRDefault="006F740C" w:rsidP="004405E4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לאחר שהחל שלב שמיעת ההוכחות בהליך 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המתנהל נגד העותר 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>מסרה אחת מעדות התביעה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 לידי משטרת ישראל, מידע חדש שהיא סברה שעשוי להיות רלוונטי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לאישום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המוכר גם כ"פרשת 1000",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ה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>מיי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 xml:space="preserve">חס לעותר קבלת טובות הנאה מאנשי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>עסקים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בניגוד לדין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>.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בעקבות המידע שנמסר, בוצעו השלמות חקירה, אך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לאחר בחינת החומר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שנאסף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 החליט היועץ המשפטי לממשלה דאז לגנוז את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השלמת ה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חקירה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ו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להעביר את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ממצאיה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לידי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סנגוריו של העותר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>.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ברם, עוד בטרם הגיע המידע לידי הסניגורים הוא מצא את דרכו לאמצעי התקשורת השונים. </w:t>
      </w:r>
      <w:r w:rsidR="00B874C0">
        <w:rPr>
          <w:rFonts w:ascii="Calibri" w:eastAsia="Calibri" w:hAnsi="Calibri" w:cs="David" w:hint="cs"/>
          <w:spacing w:val="0"/>
          <w:sz w:val="24"/>
          <w:szCs w:val="24"/>
          <w:rtl/>
        </w:rPr>
        <w:t>בעקבות כך,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>פנ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>ה העותר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מספר פעמים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 xml:space="preserve"> ליועץ המשפטי לממשלה דאז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,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>בבקשה כי יורה על פתיחה בחקירה לא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>יתור מקור ההדלפה לגורמי התקשורת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>,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ומשלא התקבלה החלטה בבקש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>ה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הוגשה העתירה. 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בהמשך,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לאחר בחינת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טענות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העותר,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החליטה היועצת המשפטית לממשלה כי אין מקום להורות על פתיחה בחקירה פלילית בנדון כמבוקש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>,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ו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כן החליטה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ליזום עבודת 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מטה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למניעת הישנות תופעת ה'הדלפות'</w:t>
      </w:r>
      <w:r w:rsidRPr="006F740C">
        <w:rPr>
          <w:rFonts w:ascii="Calibri" w:eastAsia="Calibri" w:hAnsi="Calibri" w:cs="David"/>
          <w:spacing w:val="0"/>
          <w:sz w:val="24"/>
          <w:szCs w:val="24"/>
          <w:rtl/>
        </w:rPr>
        <w:t>.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בעקבות התפתחויות אלה הוגשה עתירה מתוקנת והתקיים </w:t>
      </w:r>
      <w:r w:rsidR="004405E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עוד </w:t>
      </w:r>
      <w:bookmarkStart w:id="0" w:name="_GoBack"/>
      <w:bookmarkEnd w:id="0"/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>דיון בעתירה.</w:t>
      </w:r>
    </w:p>
    <w:p w:rsidR="006F740C" w:rsidRDefault="006F740C" w:rsidP="006F740C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</w:p>
    <w:p w:rsidR="006F740C" w:rsidRPr="00C738A5" w:rsidRDefault="00414C15" w:rsidP="000E47BD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בית המשפט העליון 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>קבע, מפי השופט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="009E447F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ח' 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כבוב, כי </w:t>
      </w:r>
      <w:r w:rsidR="006F740C" w:rsidRPr="006F740C">
        <w:rPr>
          <w:rFonts w:ascii="Calibri" w:eastAsia="Calibri" w:hAnsi="Calibri" w:cs="David"/>
          <w:spacing w:val="0"/>
          <w:sz w:val="24"/>
          <w:szCs w:val="24"/>
          <w:rtl/>
        </w:rPr>
        <w:t>תופעת ה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>'</w:t>
      </w:r>
      <w:r w:rsidR="006F740C" w:rsidRPr="006F740C">
        <w:rPr>
          <w:rFonts w:ascii="Calibri" w:eastAsia="Calibri" w:hAnsi="Calibri" w:cs="David"/>
          <w:spacing w:val="0"/>
          <w:sz w:val="24"/>
          <w:szCs w:val="24"/>
          <w:rtl/>
        </w:rPr>
        <w:t>הדלפות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>'</w:t>
      </w:r>
      <w:r w:rsidR="006F740C"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 מחדרי 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החקירות מסבה נזק רב </w:t>
      </w:r>
      <w:r w:rsidR="006F740C">
        <w:rPr>
          <w:rFonts w:ascii="Calibri" w:eastAsia="Calibri" w:hAnsi="Calibri" w:cs="David"/>
          <w:spacing w:val="0"/>
          <w:sz w:val="24"/>
          <w:szCs w:val="24"/>
          <w:rtl/>
        </w:rPr>
        <w:t>לאמון הציבור ברשויות האכיפה</w:t>
      </w:r>
      <w:r w:rsidR="006F740C"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 ולתפ</w:t>
      </w:r>
      <w:r w:rsidR="006F740C">
        <w:rPr>
          <w:rFonts w:ascii="Calibri" w:eastAsia="Calibri" w:hAnsi="Calibri" w:cs="David"/>
          <w:spacing w:val="0"/>
          <w:sz w:val="24"/>
          <w:szCs w:val="24"/>
          <w:rtl/>
        </w:rPr>
        <w:t>יסה של האזרחים את הרשויות הללו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="006F740C" w:rsidRPr="006F740C">
        <w:rPr>
          <w:rFonts w:ascii="Calibri" w:eastAsia="Calibri" w:hAnsi="Calibri" w:cs="David"/>
          <w:spacing w:val="0"/>
          <w:sz w:val="24"/>
          <w:szCs w:val="24"/>
          <w:rtl/>
        </w:rPr>
        <w:t>ככאלו שפועלות על בסיס שיקולים ענייניים בלבד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. משכך, נקבע כי אין מקום לשלול את האפשרות להשתמש בכלי הפלילי כדי להתמודד עם תופעת ה'הדלפות', גם אם לא נגרם נזק </w:t>
      </w:r>
      <w:r w:rsidR="006F740C" w:rsidRPr="006F740C">
        <w:rPr>
          <w:rFonts w:ascii="Calibri" w:eastAsia="Calibri" w:hAnsi="Calibri" w:cs="David"/>
          <w:spacing w:val="0"/>
          <w:sz w:val="24"/>
          <w:szCs w:val="24"/>
          <w:rtl/>
        </w:rPr>
        <w:t xml:space="preserve">לחשוד או לנאשם </w:t>
      </w:r>
      <w:r w:rsidR="006F740C">
        <w:rPr>
          <w:rFonts w:ascii="Calibri" w:eastAsia="Calibri" w:hAnsi="Calibri" w:cs="David"/>
          <w:spacing w:val="0"/>
          <w:sz w:val="24"/>
          <w:szCs w:val="24"/>
          <w:rtl/>
        </w:rPr>
        <w:t>במקרה הקונקרטי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. עם זאת, בנסיבות העניין, מקום בו בכירי מערכת אכיפת החוק סברו כי תוחלת החקירה וסיכוייה להביא לידי איתור הגורם המדליף </w:t>
      </w:r>
      <w:r w:rsidR="006F740C">
        <w:rPr>
          <w:rFonts w:ascii="Calibri" w:eastAsia="Calibri" w:hAnsi="Calibri" w:cs="David"/>
          <w:spacing w:val="0"/>
          <w:sz w:val="24"/>
          <w:szCs w:val="24"/>
          <w:rtl/>
        </w:rPr>
        <w:t>–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נמוכים מאוד, מצא בית המשפט,</w:t>
      </w:r>
      <w:r w:rsidR="006F740C" w:rsidRPr="006F740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="006F740C">
        <w:rPr>
          <w:rFonts w:ascii="Calibri" w:eastAsia="Calibri" w:hAnsi="Calibri" w:cs="David" w:hint="cs"/>
          <w:spacing w:val="0"/>
          <w:sz w:val="24"/>
          <w:szCs w:val="24"/>
          <w:rtl/>
        </w:rPr>
        <w:t>בהתאם לאמות המידה שהותוו בהלכה הפסוקה בהקשר זה, כי אין עילה להתערבותו בהחלטה שלא לפתוח בחקירה פלילית במקרה דנן.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השופט</w:t>
      </w:r>
      <w:r w:rsidR="009E447F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נ'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סולברג הצטרף </w:t>
      </w:r>
      <w:r w:rsidR="005E4178">
        <w:rPr>
          <w:rFonts w:ascii="Calibri" w:eastAsia="Calibri" w:hAnsi="Calibri" w:cs="David" w:hint="cs"/>
          <w:spacing w:val="0"/>
          <w:sz w:val="24"/>
          <w:szCs w:val="24"/>
          <w:rtl/>
        </w:rPr>
        <w:t>למסקנתו ו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לדרך הילוכו של השופט כבוב, והוסיף כי </w:t>
      </w:r>
      <w:r w:rsidR="000E47BD">
        <w:rPr>
          <w:rFonts w:ascii="Calibri" w:eastAsia="Calibri" w:hAnsi="Calibri" w:cs="David" w:hint="cs"/>
          <w:spacing w:val="0"/>
          <w:sz w:val="24"/>
          <w:szCs w:val="24"/>
          <w:rtl/>
        </w:rPr>
        <w:t>הזהירות בנקיטת הליכים פליליים, אכן הכרחית וחשובה. אך זהירות יתרה</w:t>
      </w:r>
      <w:r w:rsidR="00FB08CB">
        <w:rPr>
          <w:rFonts w:ascii="Calibri" w:eastAsia="Calibri" w:hAnsi="Calibri" w:cs="David" w:hint="cs"/>
          <w:spacing w:val="0"/>
          <w:sz w:val="24"/>
          <w:szCs w:val="24"/>
          <w:rtl/>
        </w:rPr>
        <w:t>,</w:t>
      </w:r>
      <w:r w:rsidR="000E47BD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צפויה להביא לסתימת הגולל על חקירה יעילה וטיפול הולם ברעה החולה של הדלפות</w:t>
      </w:r>
      <w:r w:rsidR="00FB08CB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שכאלה</w:t>
      </w:r>
      <w:r w:rsidR="000E47BD">
        <w:rPr>
          <w:rFonts w:ascii="Calibri" w:eastAsia="Calibri" w:hAnsi="Calibri" w:cs="David" w:hint="cs"/>
          <w:spacing w:val="0"/>
          <w:sz w:val="24"/>
          <w:szCs w:val="24"/>
          <w:rtl/>
        </w:rPr>
        <w:t>. קשה עד בלתי אפשרי לקיים חקירה אפקטיבית בחלוף זמן רב. בד בבד עם הזהירות, נחוצה זריזות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>. השופטת</w:t>
      </w:r>
      <w:r w:rsidR="009E447F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ד'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ברק-ארז הצטרפה למסקנה כי דין העתירה להידחות, בציינה כי קבלת עתירות מסוג זה</w:t>
      </w:r>
      <w:r w:rsidR="000F1350">
        <w:rPr>
          <w:rFonts w:ascii="Calibri" w:eastAsia="Calibri" w:hAnsi="Calibri" w:cs="David" w:hint="cs"/>
          <w:spacing w:val="0"/>
          <w:sz w:val="24"/>
          <w:szCs w:val="24"/>
          <w:rtl/>
        </w:rPr>
        <w:t>,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>המופנות כנגד שיקול דעת רשויות התביעה</w:t>
      </w:r>
      <w:r w:rsidR="000F1350">
        <w:rPr>
          <w:rFonts w:ascii="Calibri" w:eastAsia="Calibri" w:hAnsi="Calibri" w:cs="David" w:hint="cs"/>
          <w:spacing w:val="0"/>
          <w:sz w:val="24"/>
          <w:szCs w:val="24"/>
          <w:rtl/>
        </w:rPr>
        <w:t>,</w:t>
      </w:r>
      <w:r w:rsidR="00F33F55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="00D07841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שמורה למקרים של אי-סבירות קיצונית, וכזו לא נמצאה במקרה זה. </w:t>
      </w:r>
    </w:p>
    <w:sectPr w:rsidR="006F740C" w:rsidRPr="00C738A5" w:rsidSect="00603463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A19" w:rsidRDefault="00075A19" w:rsidP="00A964EC">
      <w:pPr>
        <w:spacing w:after="0" w:line="240" w:lineRule="auto"/>
      </w:pPr>
      <w:r>
        <w:separator/>
      </w:r>
    </w:p>
  </w:endnote>
  <w:endnote w:type="continuationSeparator" w:id="0">
    <w:p w:rsidR="00075A19" w:rsidRDefault="00075A19" w:rsidP="00A96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TUR">
    <w:altName w:val="Arial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A19" w:rsidRDefault="00075A19" w:rsidP="00A964EC">
      <w:pPr>
        <w:spacing w:after="0" w:line="240" w:lineRule="auto"/>
      </w:pPr>
      <w:r>
        <w:separator/>
      </w:r>
    </w:p>
  </w:footnote>
  <w:footnote w:type="continuationSeparator" w:id="0">
    <w:p w:rsidR="00075A19" w:rsidRDefault="00075A19" w:rsidP="00A96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C76" w:rsidRDefault="006D1C76">
    <w:pPr>
      <w:pStyle w:val="a5"/>
    </w:pPr>
    <w:r w:rsidRPr="00C06276">
      <w:rPr>
        <w:rFonts w:cs="David"/>
        <w:noProof/>
      </w:rPr>
      <w:drawing>
        <wp:anchor distT="0" distB="0" distL="114300" distR="114300" simplePos="0" relativeHeight="251658240" behindDoc="1" locked="0" layoutInCell="1" allowOverlap="1" wp14:anchorId="1401E79D" wp14:editId="281F4116">
          <wp:simplePos x="0" y="0"/>
          <wp:positionH relativeFrom="column">
            <wp:posOffset>2353310</wp:posOffset>
          </wp:positionH>
          <wp:positionV relativeFrom="paragraph">
            <wp:posOffset>-216362</wp:posOffset>
          </wp:positionV>
          <wp:extent cx="525145" cy="621030"/>
          <wp:effectExtent l="0" t="0" r="8255" b="7620"/>
          <wp:wrapTight wrapText="bothSides">
            <wp:wrapPolygon edited="0">
              <wp:start x="0" y="0"/>
              <wp:lineTo x="0" y="21202"/>
              <wp:lineTo x="21156" y="21202"/>
              <wp:lineTo x="21156" y="0"/>
              <wp:lineTo x="0" y="0"/>
            </wp:wrapPolygon>
          </wp:wrapTight>
          <wp:docPr id="2" name="תמונה 2" descr="sem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 descr="sem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001B"/>
    <w:multiLevelType w:val="hybridMultilevel"/>
    <w:tmpl w:val="D3E0B4EE"/>
    <w:lvl w:ilvl="0" w:tplc="7654F14C">
      <w:start w:val="1"/>
      <w:numFmt w:val="decimal"/>
      <w:pStyle w:val="Ruller4"/>
      <w:lvlText w:val="%1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 w:tplc="7ADCB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C67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8470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EE6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A2B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1CB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E9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928E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447BA8"/>
    <w:multiLevelType w:val="hybridMultilevel"/>
    <w:tmpl w:val="393C0002"/>
    <w:lvl w:ilvl="0" w:tplc="19FC5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F6C222" w:tentative="1">
      <w:start w:val="1"/>
      <w:numFmt w:val="lowerLetter"/>
      <w:lvlText w:val="%2."/>
      <w:lvlJc w:val="left"/>
      <w:pPr>
        <w:ind w:left="1440" w:hanging="360"/>
      </w:pPr>
    </w:lvl>
    <w:lvl w:ilvl="2" w:tplc="1AA0CCDE" w:tentative="1">
      <w:start w:val="1"/>
      <w:numFmt w:val="lowerRoman"/>
      <w:lvlText w:val="%3."/>
      <w:lvlJc w:val="right"/>
      <w:pPr>
        <w:ind w:left="2160" w:hanging="180"/>
      </w:pPr>
    </w:lvl>
    <w:lvl w:ilvl="3" w:tplc="F7647056" w:tentative="1">
      <w:start w:val="1"/>
      <w:numFmt w:val="decimal"/>
      <w:lvlText w:val="%4."/>
      <w:lvlJc w:val="left"/>
      <w:pPr>
        <w:ind w:left="2880" w:hanging="360"/>
      </w:pPr>
    </w:lvl>
    <w:lvl w:ilvl="4" w:tplc="EE3C1D68" w:tentative="1">
      <w:start w:val="1"/>
      <w:numFmt w:val="lowerLetter"/>
      <w:lvlText w:val="%5."/>
      <w:lvlJc w:val="left"/>
      <w:pPr>
        <w:ind w:left="3600" w:hanging="360"/>
      </w:pPr>
    </w:lvl>
    <w:lvl w:ilvl="5" w:tplc="9734217A" w:tentative="1">
      <w:start w:val="1"/>
      <w:numFmt w:val="lowerRoman"/>
      <w:lvlText w:val="%6."/>
      <w:lvlJc w:val="right"/>
      <w:pPr>
        <w:ind w:left="4320" w:hanging="180"/>
      </w:pPr>
    </w:lvl>
    <w:lvl w:ilvl="6" w:tplc="A792FB16" w:tentative="1">
      <w:start w:val="1"/>
      <w:numFmt w:val="decimal"/>
      <w:lvlText w:val="%7."/>
      <w:lvlJc w:val="left"/>
      <w:pPr>
        <w:ind w:left="5040" w:hanging="360"/>
      </w:pPr>
    </w:lvl>
    <w:lvl w:ilvl="7" w:tplc="FC722538" w:tentative="1">
      <w:start w:val="1"/>
      <w:numFmt w:val="lowerLetter"/>
      <w:lvlText w:val="%8."/>
      <w:lvlJc w:val="left"/>
      <w:pPr>
        <w:ind w:left="5760" w:hanging="360"/>
      </w:pPr>
    </w:lvl>
    <w:lvl w:ilvl="8" w:tplc="3C92F6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F4482"/>
    <w:multiLevelType w:val="hybridMultilevel"/>
    <w:tmpl w:val="A84C0436"/>
    <w:lvl w:ilvl="0" w:tplc="2D0EBA6E">
      <w:start w:val="1"/>
      <w:numFmt w:val="hebrew1"/>
      <w:lvlText w:val="(%1)"/>
      <w:lvlJc w:val="left"/>
      <w:pPr>
        <w:ind w:left="720" w:hanging="360"/>
      </w:pPr>
      <w:rPr>
        <w:rFonts w:ascii="Arial TUR" w:hAnsi="Arial TU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B21E9"/>
    <w:multiLevelType w:val="hybridMultilevel"/>
    <w:tmpl w:val="0BC871CE"/>
    <w:lvl w:ilvl="0" w:tplc="709C714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9D4AC7B0" w:tentative="1">
      <w:start w:val="1"/>
      <w:numFmt w:val="lowerLetter"/>
      <w:lvlText w:val="%2."/>
      <w:lvlJc w:val="left"/>
      <w:pPr>
        <w:ind w:left="1440" w:hanging="360"/>
      </w:pPr>
    </w:lvl>
    <w:lvl w:ilvl="2" w:tplc="529A5ACE" w:tentative="1">
      <w:start w:val="1"/>
      <w:numFmt w:val="lowerRoman"/>
      <w:lvlText w:val="%3."/>
      <w:lvlJc w:val="right"/>
      <w:pPr>
        <w:ind w:left="2160" w:hanging="180"/>
      </w:pPr>
    </w:lvl>
    <w:lvl w:ilvl="3" w:tplc="F34AE2A6" w:tentative="1">
      <w:start w:val="1"/>
      <w:numFmt w:val="decimal"/>
      <w:lvlText w:val="%4."/>
      <w:lvlJc w:val="left"/>
      <w:pPr>
        <w:ind w:left="2880" w:hanging="360"/>
      </w:pPr>
    </w:lvl>
    <w:lvl w:ilvl="4" w:tplc="B61A8AC4" w:tentative="1">
      <w:start w:val="1"/>
      <w:numFmt w:val="lowerLetter"/>
      <w:lvlText w:val="%5."/>
      <w:lvlJc w:val="left"/>
      <w:pPr>
        <w:ind w:left="3600" w:hanging="360"/>
      </w:pPr>
    </w:lvl>
    <w:lvl w:ilvl="5" w:tplc="F6D604B0" w:tentative="1">
      <w:start w:val="1"/>
      <w:numFmt w:val="lowerRoman"/>
      <w:lvlText w:val="%6."/>
      <w:lvlJc w:val="right"/>
      <w:pPr>
        <w:ind w:left="4320" w:hanging="180"/>
      </w:pPr>
    </w:lvl>
    <w:lvl w:ilvl="6" w:tplc="48346C9E" w:tentative="1">
      <w:start w:val="1"/>
      <w:numFmt w:val="decimal"/>
      <w:lvlText w:val="%7."/>
      <w:lvlJc w:val="left"/>
      <w:pPr>
        <w:ind w:left="5040" w:hanging="360"/>
      </w:pPr>
    </w:lvl>
    <w:lvl w:ilvl="7" w:tplc="73A4DB0C" w:tentative="1">
      <w:start w:val="1"/>
      <w:numFmt w:val="lowerLetter"/>
      <w:lvlText w:val="%8."/>
      <w:lvlJc w:val="left"/>
      <w:pPr>
        <w:ind w:left="5760" w:hanging="360"/>
      </w:pPr>
    </w:lvl>
    <w:lvl w:ilvl="8" w:tplc="E57C59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  <w:num w:numId="7">
    <w:abstractNumId w:val="2"/>
  </w:num>
  <w:num w:numId="8">
    <w:abstractNumId w:val="0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FBE"/>
    <w:rsid w:val="00004BF5"/>
    <w:rsid w:val="00010B10"/>
    <w:rsid w:val="00021AAF"/>
    <w:rsid w:val="00031AA4"/>
    <w:rsid w:val="00035CCA"/>
    <w:rsid w:val="0004475F"/>
    <w:rsid w:val="000529A1"/>
    <w:rsid w:val="00053EF8"/>
    <w:rsid w:val="0005491C"/>
    <w:rsid w:val="00064B6B"/>
    <w:rsid w:val="000659B6"/>
    <w:rsid w:val="00070C21"/>
    <w:rsid w:val="00075A19"/>
    <w:rsid w:val="000953BD"/>
    <w:rsid w:val="000A00D4"/>
    <w:rsid w:val="000A2EBC"/>
    <w:rsid w:val="000A54EA"/>
    <w:rsid w:val="000A62A8"/>
    <w:rsid w:val="000D2D95"/>
    <w:rsid w:val="000D30EF"/>
    <w:rsid w:val="000E47BD"/>
    <w:rsid w:val="000F1350"/>
    <w:rsid w:val="000F48C3"/>
    <w:rsid w:val="000F752A"/>
    <w:rsid w:val="000F7F9E"/>
    <w:rsid w:val="00101113"/>
    <w:rsid w:val="00103316"/>
    <w:rsid w:val="00111DE0"/>
    <w:rsid w:val="0012049E"/>
    <w:rsid w:val="00125D9B"/>
    <w:rsid w:val="00127877"/>
    <w:rsid w:val="001318F9"/>
    <w:rsid w:val="001436C2"/>
    <w:rsid w:val="00143994"/>
    <w:rsid w:val="00146AB1"/>
    <w:rsid w:val="0015104F"/>
    <w:rsid w:val="001559C6"/>
    <w:rsid w:val="00162E29"/>
    <w:rsid w:val="00172269"/>
    <w:rsid w:val="001728CE"/>
    <w:rsid w:val="00173A72"/>
    <w:rsid w:val="00177A77"/>
    <w:rsid w:val="0018693E"/>
    <w:rsid w:val="0018768B"/>
    <w:rsid w:val="00193890"/>
    <w:rsid w:val="001A4DDB"/>
    <w:rsid w:val="001A5CCA"/>
    <w:rsid w:val="001A71A0"/>
    <w:rsid w:val="001B27A9"/>
    <w:rsid w:val="001B37D6"/>
    <w:rsid w:val="001B7068"/>
    <w:rsid w:val="001C0C3F"/>
    <w:rsid w:val="001C2D0A"/>
    <w:rsid w:val="001C3C6F"/>
    <w:rsid w:val="001D0E81"/>
    <w:rsid w:val="001D2736"/>
    <w:rsid w:val="001D4CBB"/>
    <w:rsid w:val="001E0D8D"/>
    <w:rsid w:val="001E11C9"/>
    <w:rsid w:val="001E2735"/>
    <w:rsid w:val="00200A5A"/>
    <w:rsid w:val="00201F60"/>
    <w:rsid w:val="00204E9F"/>
    <w:rsid w:val="00214B92"/>
    <w:rsid w:val="0022236E"/>
    <w:rsid w:val="00223FE9"/>
    <w:rsid w:val="002246DD"/>
    <w:rsid w:val="00225E27"/>
    <w:rsid w:val="0022611B"/>
    <w:rsid w:val="0023129D"/>
    <w:rsid w:val="002326AF"/>
    <w:rsid w:val="00233051"/>
    <w:rsid w:val="00236227"/>
    <w:rsid w:val="002454E3"/>
    <w:rsid w:val="0025029A"/>
    <w:rsid w:val="0025111D"/>
    <w:rsid w:val="002554E8"/>
    <w:rsid w:val="0025669F"/>
    <w:rsid w:val="00260AD1"/>
    <w:rsid w:val="00264A63"/>
    <w:rsid w:val="00272FDD"/>
    <w:rsid w:val="00275B91"/>
    <w:rsid w:val="00276081"/>
    <w:rsid w:val="00277323"/>
    <w:rsid w:val="00277455"/>
    <w:rsid w:val="00286A6A"/>
    <w:rsid w:val="002A0CCF"/>
    <w:rsid w:val="002B595E"/>
    <w:rsid w:val="002B7024"/>
    <w:rsid w:val="002B7D45"/>
    <w:rsid w:val="002C1028"/>
    <w:rsid w:val="002C720D"/>
    <w:rsid w:val="002D1693"/>
    <w:rsid w:val="002D490F"/>
    <w:rsid w:val="002D5EEF"/>
    <w:rsid w:val="002E2E98"/>
    <w:rsid w:val="002E7B77"/>
    <w:rsid w:val="002F0CCB"/>
    <w:rsid w:val="002F1737"/>
    <w:rsid w:val="002F1CF5"/>
    <w:rsid w:val="002F38F4"/>
    <w:rsid w:val="00301A9E"/>
    <w:rsid w:val="00304769"/>
    <w:rsid w:val="003137CD"/>
    <w:rsid w:val="00320639"/>
    <w:rsid w:val="003275B3"/>
    <w:rsid w:val="00333647"/>
    <w:rsid w:val="00334FC8"/>
    <w:rsid w:val="0033554D"/>
    <w:rsid w:val="0035063A"/>
    <w:rsid w:val="00353B10"/>
    <w:rsid w:val="00354139"/>
    <w:rsid w:val="00367985"/>
    <w:rsid w:val="00372C3C"/>
    <w:rsid w:val="00381FCB"/>
    <w:rsid w:val="003854F3"/>
    <w:rsid w:val="00395E1B"/>
    <w:rsid w:val="00396AC3"/>
    <w:rsid w:val="003A6E41"/>
    <w:rsid w:val="003B14D3"/>
    <w:rsid w:val="003B1514"/>
    <w:rsid w:val="003B39F4"/>
    <w:rsid w:val="003E2384"/>
    <w:rsid w:val="003E6ABE"/>
    <w:rsid w:val="003E7C20"/>
    <w:rsid w:val="003F25A8"/>
    <w:rsid w:val="003F62AE"/>
    <w:rsid w:val="003F6CE8"/>
    <w:rsid w:val="003F7ADF"/>
    <w:rsid w:val="004027D5"/>
    <w:rsid w:val="00403ED9"/>
    <w:rsid w:val="00407F6B"/>
    <w:rsid w:val="00414149"/>
    <w:rsid w:val="00414C15"/>
    <w:rsid w:val="00415C92"/>
    <w:rsid w:val="004313B5"/>
    <w:rsid w:val="00431F3B"/>
    <w:rsid w:val="004405E4"/>
    <w:rsid w:val="0044184D"/>
    <w:rsid w:val="00445637"/>
    <w:rsid w:val="0045090E"/>
    <w:rsid w:val="00461921"/>
    <w:rsid w:val="0046373F"/>
    <w:rsid w:val="00471EA5"/>
    <w:rsid w:val="004918F3"/>
    <w:rsid w:val="004A41B5"/>
    <w:rsid w:val="004A553E"/>
    <w:rsid w:val="004B25DC"/>
    <w:rsid w:val="004B5439"/>
    <w:rsid w:val="004C07E1"/>
    <w:rsid w:val="004C18F7"/>
    <w:rsid w:val="004C732A"/>
    <w:rsid w:val="004D26C6"/>
    <w:rsid w:val="004D2866"/>
    <w:rsid w:val="004D4ABF"/>
    <w:rsid w:val="004F61B9"/>
    <w:rsid w:val="0050648E"/>
    <w:rsid w:val="00507A54"/>
    <w:rsid w:val="005120E2"/>
    <w:rsid w:val="00517490"/>
    <w:rsid w:val="00530321"/>
    <w:rsid w:val="005318F3"/>
    <w:rsid w:val="00534032"/>
    <w:rsid w:val="00534E37"/>
    <w:rsid w:val="005356DB"/>
    <w:rsid w:val="00536A56"/>
    <w:rsid w:val="00540D21"/>
    <w:rsid w:val="00541A58"/>
    <w:rsid w:val="0054456E"/>
    <w:rsid w:val="005446A7"/>
    <w:rsid w:val="00546AAC"/>
    <w:rsid w:val="00546F91"/>
    <w:rsid w:val="00550A21"/>
    <w:rsid w:val="0056063B"/>
    <w:rsid w:val="005623FC"/>
    <w:rsid w:val="00570811"/>
    <w:rsid w:val="00570B2D"/>
    <w:rsid w:val="005712D8"/>
    <w:rsid w:val="00571FF1"/>
    <w:rsid w:val="005749CC"/>
    <w:rsid w:val="00575936"/>
    <w:rsid w:val="00585C6D"/>
    <w:rsid w:val="00592BDE"/>
    <w:rsid w:val="00594479"/>
    <w:rsid w:val="0059654E"/>
    <w:rsid w:val="005A3BE4"/>
    <w:rsid w:val="005B1E3F"/>
    <w:rsid w:val="005B6551"/>
    <w:rsid w:val="005C05AE"/>
    <w:rsid w:val="005C2340"/>
    <w:rsid w:val="005C27B1"/>
    <w:rsid w:val="005C2B77"/>
    <w:rsid w:val="005C35C6"/>
    <w:rsid w:val="005D2F16"/>
    <w:rsid w:val="005E4178"/>
    <w:rsid w:val="005F3AD9"/>
    <w:rsid w:val="006008A7"/>
    <w:rsid w:val="00601EDB"/>
    <w:rsid w:val="00603463"/>
    <w:rsid w:val="00604EF9"/>
    <w:rsid w:val="006150DF"/>
    <w:rsid w:val="006169B8"/>
    <w:rsid w:val="00624E4D"/>
    <w:rsid w:val="00625309"/>
    <w:rsid w:val="00634C3B"/>
    <w:rsid w:val="00634ED5"/>
    <w:rsid w:val="006356B8"/>
    <w:rsid w:val="00636F2A"/>
    <w:rsid w:val="00645264"/>
    <w:rsid w:val="006527D4"/>
    <w:rsid w:val="00655806"/>
    <w:rsid w:val="0066096B"/>
    <w:rsid w:val="00672517"/>
    <w:rsid w:val="006759A9"/>
    <w:rsid w:val="0069762C"/>
    <w:rsid w:val="006A03E7"/>
    <w:rsid w:val="006A5289"/>
    <w:rsid w:val="006B294C"/>
    <w:rsid w:val="006B3F9C"/>
    <w:rsid w:val="006C62BB"/>
    <w:rsid w:val="006D1C76"/>
    <w:rsid w:val="006D4616"/>
    <w:rsid w:val="006D5DD8"/>
    <w:rsid w:val="006D77DB"/>
    <w:rsid w:val="006F740C"/>
    <w:rsid w:val="00700D7D"/>
    <w:rsid w:val="00701A35"/>
    <w:rsid w:val="00710A93"/>
    <w:rsid w:val="007152A0"/>
    <w:rsid w:val="0071771D"/>
    <w:rsid w:val="00723BA8"/>
    <w:rsid w:val="0072573A"/>
    <w:rsid w:val="00727375"/>
    <w:rsid w:val="00732ED8"/>
    <w:rsid w:val="007419E8"/>
    <w:rsid w:val="00745B38"/>
    <w:rsid w:val="00752626"/>
    <w:rsid w:val="00753800"/>
    <w:rsid w:val="00755B9B"/>
    <w:rsid w:val="00756BB9"/>
    <w:rsid w:val="00760F72"/>
    <w:rsid w:val="007620D7"/>
    <w:rsid w:val="00766614"/>
    <w:rsid w:val="00766C19"/>
    <w:rsid w:val="00772DDB"/>
    <w:rsid w:val="00774258"/>
    <w:rsid w:val="00777861"/>
    <w:rsid w:val="00783ACA"/>
    <w:rsid w:val="00784065"/>
    <w:rsid w:val="00791F4F"/>
    <w:rsid w:val="00794047"/>
    <w:rsid w:val="00795D4B"/>
    <w:rsid w:val="007A15CC"/>
    <w:rsid w:val="007A1906"/>
    <w:rsid w:val="007A4755"/>
    <w:rsid w:val="007B349D"/>
    <w:rsid w:val="007D20F7"/>
    <w:rsid w:val="007D3F73"/>
    <w:rsid w:val="007F0122"/>
    <w:rsid w:val="007F3E7B"/>
    <w:rsid w:val="007F4CE6"/>
    <w:rsid w:val="007F5D93"/>
    <w:rsid w:val="007F6829"/>
    <w:rsid w:val="008013DF"/>
    <w:rsid w:val="00803DE9"/>
    <w:rsid w:val="00810213"/>
    <w:rsid w:val="008110BA"/>
    <w:rsid w:val="00812515"/>
    <w:rsid w:val="00827BF5"/>
    <w:rsid w:val="00831E84"/>
    <w:rsid w:val="00834194"/>
    <w:rsid w:val="008658E0"/>
    <w:rsid w:val="008676CD"/>
    <w:rsid w:val="008718FA"/>
    <w:rsid w:val="00882634"/>
    <w:rsid w:val="00883393"/>
    <w:rsid w:val="00885BAF"/>
    <w:rsid w:val="00890BC7"/>
    <w:rsid w:val="00891345"/>
    <w:rsid w:val="00897F0D"/>
    <w:rsid w:val="008B4331"/>
    <w:rsid w:val="008C4A9A"/>
    <w:rsid w:val="008C4DB4"/>
    <w:rsid w:val="008D7D20"/>
    <w:rsid w:val="008E167F"/>
    <w:rsid w:val="008E458B"/>
    <w:rsid w:val="008E6BD0"/>
    <w:rsid w:val="008F5DB5"/>
    <w:rsid w:val="008F611C"/>
    <w:rsid w:val="00905266"/>
    <w:rsid w:val="00905643"/>
    <w:rsid w:val="00911F77"/>
    <w:rsid w:val="00912927"/>
    <w:rsid w:val="00912B1A"/>
    <w:rsid w:val="009178B6"/>
    <w:rsid w:val="00931F17"/>
    <w:rsid w:val="00932A47"/>
    <w:rsid w:val="009360A5"/>
    <w:rsid w:val="00947F43"/>
    <w:rsid w:val="0096475A"/>
    <w:rsid w:val="0097102F"/>
    <w:rsid w:val="00971281"/>
    <w:rsid w:val="0098447F"/>
    <w:rsid w:val="009862A4"/>
    <w:rsid w:val="00995A2B"/>
    <w:rsid w:val="00997EC7"/>
    <w:rsid w:val="009A25E9"/>
    <w:rsid w:val="009B0244"/>
    <w:rsid w:val="009B50C2"/>
    <w:rsid w:val="009B6A10"/>
    <w:rsid w:val="009B72B9"/>
    <w:rsid w:val="009D779A"/>
    <w:rsid w:val="009E1101"/>
    <w:rsid w:val="009E280B"/>
    <w:rsid w:val="009E447F"/>
    <w:rsid w:val="009E697F"/>
    <w:rsid w:val="009F529D"/>
    <w:rsid w:val="00A04821"/>
    <w:rsid w:val="00A0634B"/>
    <w:rsid w:val="00A06E7C"/>
    <w:rsid w:val="00A0717F"/>
    <w:rsid w:val="00A118E0"/>
    <w:rsid w:val="00A15A0F"/>
    <w:rsid w:val="00A20A54"/>
    <w:rsid w:val="00A2648F"/>
    <w:rsid w:val="00A31F6C"/>
    <w:rsid w:val="00A32EFC"/>
    <w:rsid w:val="00A4429B"/>
    <w:rsid w:val="00A468AE"/>
    <w:rsid w:val="00A5101A"/>
    <w:rsid w:val="00A71D38"/>
    <w:rsid w:val="00A72C1B"/>
    <w:rsid w:val="00A7630E"/>
    <w:rsid w:val="00A7715D"/>
    <w:rsid w:val="00A811CD"/>
    <w:rsid w:val="00A85EC5"/>
    <w:rsid w:val="00A93796"/>
    <w:rsid w:val="00A964EC"/>
    <w:rsid w:val="00AA1927"/>
    <w:rsid w:val="00AA2973"/>
    <w:rsid w:val="00AA3377"/>
    <w:rsid w:val="00AA5178"/>
    <w:rsid w:val="00AA6FCB"/>
    <w:rsid w:val="00AB55F4"/>
    <w:rsid w:val="00AB79D3"/>
    <w:rsid w:val="00AC39BB"/>
    <w:rsid w:val="00AD2F8C"/>
    <w:rsid w:val="00AD4E0D"/>
    <w:rsid w:val="00AD6A00"/>
    <w:rsid w:val="00B03CD9"/>
    <w:rsid w:val="00B05814"/>
    <w:rsid w:val="00B13439"/>
    <w:rsid w:val="00B23B39"/>
    <w:rsid w:val="00B351C5"/>
    <w:rsid w:val="00B41DFB"/>
    <w:rsid w:val="00B43429"/>
    <w:rsid w:val="00B443C1"/>
    <w:rsid w:val="00B467EF"/>
    <w:rsid w:val="00B56A47"/>
    <w:rsid w:val="00B63D17"/>
    <w:rsid w:val="00B7563E"/>
    <w:rsid w:val="00B82C8E"/>
    <w:rsid w:val="00B8662A"/>
    <w:rsid w:val="00B874C0"/>
    <w:rsid w:val="00B933F5"/>
    <w:rsid w:val="00B95A14"/>
    <w:rsid w:val="00BA02C1"/>
    <w:rsid w:val="00BA0ACA"/>
    <w:rsid w:val="00BB50DE"/>
    <w:rsid w:val="00BB53BD"/>
    <w:rsid w:val="00BB65E2"/>
    <w:rsid w:val="00BC7B27"/>
    <w:rsid w:val="00BE0013"/>
    <w:rsid w:val="00BE423E"/>
    <w:rsid w:val="00BE747A"/>
    <w:rsid w:val="00BF5901"/>
    <w:rsid w:val="00BF6D9C"/>
    <w:rsid w:val="00C04BD7"/>
    <w:rsid w:val="00C06276"/>
    <w:rsid w:val="00C149D8"/>
    <w:rsid w:val="00C24B07"/>
    <w:rsid w:val="00C50415"/>
    <w:rsid w:val="00C66314"/>
    <w:rsid w:val="00C6733B"/>
    <w:rsid w:val="00C70551"/>
    <w:rsid w:val="00C7343A"/>
    <w:rsid w:val="00C738A5"/>
    <w:rsid w:val="00C74199"/>
    <w:rsid w:val="00C7449D"/>
    <w:rsid w:val="00C76BC6"/>
    <w:rsid w:val="00C809DE"/>
    <w:rsid w:val="00C8535C"/>
    <w:rsid w:val="00C866A2"/>
    <w:rsid w:val="00C90E1D"/>
    <w:rsid w:val="00C94534"/>
    <w:rsid w:val="00C95C10"/>
    <w:rsid w:val="00C9632D"/>
    <w:rsid w:val="00CA4142"/>
    <w:rsid w:val="00CA4E62"/>
    <w:rsid w:val="00CA6CE5"/>
    <w:rsid w:val="00CA71FF"/>
    <w:rsid w:val="00CA752F"/>
    <w:rsid w:val="00CB29F2"/>
    <w:rsid w:val="00CB51D1"/>
    <w:rsid w:val="00CB52FD"/>
    <w:rsid w:val="00CC219A"/>
    <w:rsid w:val="00CD4BC2"/>
    <w:rsid w:val="00CD6452"/>
    <w:rsid w:val="00CD7D61"/>
    <w:rsid w:val="00CE11C9"/>
    <w:rsid w:val="00CE1244"/>
    <w:rsid w:val="00CE1FC6"/>
    <w:rsid w:val="00CF2797"/>
    <w:rsid w:val="00CF3F42"/>
    <w:rsid w:val="00CF47A3"/>
    <w:rsid w:val="00CF5BF6"/>
    <w:rsid w:val="00D07841"/>
    <w:rsid w:val="00D126F5"/>
    <w:rsid w:val="00D1716E"/>
    <w:rsid w:val="00D21B66"/>
    <w:rsid w:val="00D43886"/>
    <w:rsid w:val="00D47B40"/>
    <w:rsid w:val="00D53949"/>
    <w:rsid w:val="00D57BB5"/>
    <w:rsid w:val="00D63725"/>
    <w:rsid w:val="00D6713D"/>
    <w:rsid w:val="00D70572"/>
    <w:rsid w:val="00D70A25"/>
    <w:rsid w:val="00D715B3"/>
    <w:rsid w:val="00D777DE"/>
    <w:rsid w:val="00D77E2A"/>
    <w:rsid w:val="00D77E42"/>
    <w:rsid w:val="00D828E8"/>
    <w:rsid w:val="00D83B32"/>
    <w:rsid w:val="00D84FD6"/>
    <w:rsid w:val="00D86463"/>
    <w:rsid w:val="00D9322D"/>
    <w:rsid w:val="00DA1F17"/>
    <w:rsid w:val="00DB1A2A"/>
    <w:rsid w:val="00DB1AE1"/>
    <w:rsid w:val="00DC0FC9"/>
    <w:rsid w:val="00DC2DF3"/>
    <w:rsid w:val="00DC51CE"/>
    <w:rsid w:val="00DE3421"/>
    <w:rsid w:val="00DE3727"/>
    <w:rsid w:val="00DF6CDC"/>
    <w:rsid w:val="00E0019F"/>
    <w:rsid w:val="00E00A0F"/>
    <w:rsid w:val="00E04CAA"/>
    <w:rsid w:val="00E065E1"/>
    <w:rsid w:val="00E07896"/>
    <w:rsid w:val="00E07B3C"/>
    <w:rsid w:val="00E1470C"/>
    <w:rsid w:val="00E15F63"/>
    <w:rsid w:val="00E22D35"/>
    <w:rsid w:val="00E322C2"/>
    <w:rsid w:val="00E32589"/>
    <w:rsid w:val="00E33AF7"/>
    <w:rsid w:val="00E42660"/>
    <w:rsid w:val="00E50C5A"/>
    <w:rsid w:val="00E65277"/>
    <w:rsid w:val="00E66278"/>
    <w:rsid w:val="00E664FD"/>
    <w:rsid w:val="00E70394"/>
    <w:rsid w:val="00E7530C"/>
    <w:rsid w:val="00E77A38"/>
    <w:rsid w:val="00E80CA4"/>
    <w:rsid w:val="00E86814"/>
    <w:rsid w:val="00E948D1"/>
    <w:rsid w:val="00E94A9A"/>
    <w:rsid w:val="00EB6D9C"/>
    <w:rsid w:val="00EB74C7"/>
    <w:rsid w:val="00EB766B"/>
    <w:rsid w:val="00EC456F"/>
    <w:rsid w:val="00ED1BE1"/>
    <w:rsid w:val="00ED5C0F"/>
    <w:rsid w:val="00ED7AE9"/>
    <w:rsid w:val="00EE2F3B"/>
    <w:rsid w:val="00EE7095"/>
    <w:rsid w:val="00EE7F73"/>
    <w:rsid w:val="00EF27B0"/>
    <w:rsid w:val="00EF4789"/>
    <w:rsid w:val="00EF7395"/>
    <w:rsid w:val="00F10A37"/>
    <w:rsid w:val="00F1447F"/>
    <w:rsid w:val="00F15A71"/>
    <w:rsid w:val="00F213AD"/>
    <w:rsid w:val="00F33F55"/>
    <w:rsid w:val="00F35BA4"/>
    <w:rsid w:val="00F40183"/>
    <w:rsid w:val="00F427FD"/>
    <w:rsid w:val="00F42F02"/>
    <w:rsid w:val="00F556C7"/>
    <w:rsid w:val="00F55EB1"/>
    <w:rsid w:val="00F632AE"/>
    <w:rsid w:val="00F64947"/>
    <w:rsid w:val="00F64B32"/>
    <w:rsid w:val="00F672F4"/>
    <w:rsid w:val="00F6794D"/>
    <w:rsid w:val="00F72FBE"/>
    <w:rsid w:val="00F80D79"/>
    <w:rsid w:val="00F8396A"/>
    <w:rsid w:val="00F903AC"/>
    <w:rsid w:val="00F92FF6"/>
    <w:rsid w:val="00F931D6"/>
    <w:rsid w:val="00F9548C"/>
    <w:rsid w:val="00F96CCD"/>
    <w:rsid w:val="00FA5AE5"/>
    <w:rsid w:val="00FA6462"/>
    <w:rsid w:val="00FA6A91"/>
    <w:rsid w:val="00FA7F34"/>
    <w:rsid w:val="00FB08CB"/>
    <w:rsid w:val="00FB71FB"/>
    <w:rsid w:val="00FD3CA0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2C0E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FrankRueh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ller4">
    <w:name w:val="Ruller 4 ממוספר"/>
    <w:basedOn w:val="a"/>
    <w:next w:val="a"/>
    <w:link w:val="Ruller40"/>
    <w:qFormat/>
    <w:rsid w:val="00F72FBE"/>
    <w:pPr>
      <w:numPr>
        <w:numId w:val="1"/>
      </w:numPr>
      <w:tabs>
        <w:tab w:val="left" w:pos="80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Garamond" w:eastAsia="Times New Roman" w:hAnsi="Garamond"/>
      <w:spacing w:val="10"/>
      <w:sz w:val="24"/>
    </w:rPr>
  </w:style>
  <w:style w:type="character" w:customStyle="1" w:styleId="Ruller40">
    <w:name w:val="Ruller 4 ממוספר תו"/>
    <w:link w:val="Ruller4"/>
    <w:locked/>
    <w:rsid w:val="00F72FBE"/>
    <w:rPr>
      <w:rFonts w:ascii="Garamond" w:eastAsia="Times New Roman" w:hAnsi="Garamond"/>
      <w:spacing w:val="10"/>
      <w:sz w:val="24"/>
      <w:szCs w:val="28"/>
    </w:rPr>
  </w:style>
  <w:style w:type="paragraph" w:customStyle="1" w:styleId="Ruller3">
    <w:name w:val="Ruller 3"/>
    <w:basedOn w:val="a"/>
    <w:rsid w:val="002E7B77"/>
    <w:pPr>
      <w:tabs>
        <w:tab w:val="left" w:pos="3210"/>
        <w:tab w:val="left" w:pos="6753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spacing w:val="10"/>
    </w:rPr>
  </w:style>
  <w:style w:type="paragraph" w:customStyle="1" w:styleId="Ruller41">
    <w:name w:val="Ruller4"/>
    <w:basedOn w:val="a"/>
    <w:link w:val="Ruller42"/>
    <w:qFormat/>
    <w:rsid w:val="002E7B77"/>
    <w:pPr>
      <w:tabs>
        <w:tab w:val="left" w:pos="80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 TUR" w:eastAsia="Times New Roman" w:hAnsi="Arial TUR"/>
      <w:spacing w:val="10"/>
    </w:rPr>
  </w:style>
  <w:style w:type="character" w:customStyle="1" w:styleId="Ruller42">
    <w:name w:val="Ruller4 תו"/>
    <w:link w:val="Ruller41"/>
    <w:locked/>
    <w:rsid w:val="002E7B77"/>
    <w:rPr>
      <w:rFonts w:ascii="Arial TUR" w:eastAsia="Times New Roman" w:hAnsi="Arial TUR"/>
      <w:spacing w:val="10"/>
      <w:sz w:val="22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47F4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טקסט בלונים תו"/>
    <w:link w:val="a3"/>
    <w:uiPriority w:val="99"/>
    <w:semiHidden/>
    <w:rsid w:val="00947F43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96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rsid w:val="00A964EC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A96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rsid w:val="00A964EC"/>
    <w:rPr>
      <w:sz w:val="22"/>
      <w:szCs w:val="28"/>
    </w:rPr>
  </w:style>
  <w:style w:type="character" w:styleId="a9">
    <w:name w:val="annotation reference"/>
    <w:basedOn w:val="a0"/>
    <w:semiHidden/>
    <w:unhideWhenUsed/>
    <w:rsid w:val="005623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23FC"/>
    <w:pPr>
      <w:spacing w:line="240" w:lineRule="auto"/>
    </w:pPr>
    <w:rPr>
      <w:sz w:val="20"/>
      <w:szCs w:val="20"/>
    </w:rPr>
  </w:style>
  <w:style w:type="character" w:customStyle="1" w:styleId="ab">
    <w:name w:val="טקסט הערה תו"/>
    <w:basedOn w:val="a0"/>
    <w:link w:val="aa"/>
    <w:uiPriority w:val="99"/>
    <w:semiHidden/>
    <w:rsid w:val="005623FC"/>
  </w:style>
  <w:style w:type="paragraph" w:styleId="ac">
    <w:name w:val="annotation subject"/>
    <w:basedOn w:val="aa"/>
    <w:next w:val="aa"/>
    <w:link w:val="ad"/>
    <w:uiPriority w:val="99"/>
    <w:semiHidden/>
    <w:unhideWhenUsed/>
    <w:rsid w:val="005623FC"/>
    <w:rPr>
      <w:b/>
      <w:bCs/>
    </w:rPr>
  </w:style>
  <w:style w:type="character" w:customStyle="1" w:styleId="ad">
    <w:name w:val="נושא הערה תו"/>
    <w:basedOn w:val="ab"/>
    <w:link w:val="ac"/>
    <w:uiPriority w:val="99"/>
    <w:semiHidden/>
    <w:rsid w:val="005623FC"/>
    <w:rPr>
      <w:b/>
      <w:bCs/>
    </w:rPr>
  </w:style>
  <w:style w:type="paragraph" w:customStyle="1" w:styleId="FirstpagestylePsakdin">
    <w:name w:val="First page style Psak din"/>
    <w:basedOn w:val="Ruller3"/>
    <w:rsid w:val="006C62BB"/>
    <w:pPr>
      <w:tabs>
        <w:tab w:val="clear" w:pos="3210"/>
        <w:tab w:val="left" w:pos="3209"/>
      </w:tabs>
    </w:pPr>
    <w:rPr>
      <w:bCs/>
    </w:rPr>
  </w:style>
  <w:style w:type="character" w:styleId="Hyperlink">
    <w:name w:val="Hyperlink"/>
    <w:uiPriority w:val="99"/>
    <w:rsid w:val="006C62BB"/>
    <w:rPr>
      <w:color w:val="0000FF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9178B6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">
    <w:name w:val="טקסט רגיל תו"/>
    <w:basedOn w:val="a0"/>
    <w:link w:val="ae"/>
    <w:uiPriority w:val="99"/>
    <w:semiHidden/>
    <w:rsid w:val="009178B6"/>
    <w:rPr>
      <w:rFonts w:eastAsiaTheme="minorHAnsi" w:cstheme="minorBidi"/>
      <w:sz w:val="22"/>
      <w:szCs w:val="21"/>
    </w:rPr>
  </w:style>
  <w:style w:type="paragraph" w:customStyle="1" w:styleId="Ruller5">
    <w:name w:val="Ruller5"/>
    <w:basedOn w:val="a"/>
    <w:link w:val="Ruller50"/>
    <w:rsid w:val="00F213AD"/>
    <w:pPr>
      <w:overflowPunct w:val="0"/>
      <w:autoSpaceDE w:val="0"/>
      <w:autoSpaceDN w:val="0"/>
      <w:adjustRightInd w:val="0"/>
      <w:spacing w:after="0" w:line="240" w:lineRule="auto"/>
      <w:ind w:left="1642" w:right="1282"/>
      <w:jc w:val="both"/>
      <w:textAlignment w:val="baseline"/>
    </w:pPr>
    <w:rPr>
      <w:rFonts w:ascii="Arial TUR" w:eastAsia="Times New Roman" w:hAnsi="Arial TUR"/>
      <w:spacing w:val="10"/>
    </w:rPr>
  </w:style>
  <w:style w:type="character" w:customStyle="1" w:styleId="Ruller50">
    <w:name w:val="Ruller5 תו"/>
    <w:link w:val="Ruller5"/>
    <w:rsid w:val="00A7630E"/>
    <w:rPr>
      <w:rFonts w:ascii="Arial TUR" w:eastAsia="Times New Roman" w:hAnsi="Arial TUR"/>
      <w:spacing w:val="10"/>
      <w:sz w:val="22"/>
      <w:szCs w:val="28"/>
    </w:rPr>
  </w:style>
  <w:style w:type="paragraph" w:customStyle="1" w:styleId="BodyRuller">
    <w:name w:val="Body Ruller"/>
    <w:basedOn w:val="a"/>
    <w:rsid w:val="00652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Dav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57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8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2023-07-17T14:08:00Z</dcterms:created>
  <dcterms:modified xsi:type="dcterms:W3CDTF">2023-07-17T15:20:00Z</dcterms:modified>
</cp:coreProperties>
</file>